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0039D" w14:textId="77777777" w:rsidR="00840595" w:rsidRPr="00C22E10" w:rsidRDefault="00840595" w:rsidP="00840595">
      <w:pPr>
        <w:spacing w:line="276" w:lineRule="auto"/>
        <w:ind w:left="1"/>
        <w:jc w:val="center"/>
        <w:rPr>
          <w:color w:val="642F6C"/>
        </w:rPr>
      </w:pPr>
      <w:bookmarkStart w:id="0" w:name="_GoBack"/>
      <w:bookmarkEnd w:id="0"/>
      <w:r w:rsidRPr="00C22E10">
        <w:rPr>
          <w:b/>
          <w:color w:val="642F6C"/>
          <w:sz w:val="28"/>
        </w:rPr>
        <w:t>NCATS CTSA Program Policy and Procedures for Surveys</w:t>
      </w:r>
    </w:p>
    <w:p w14:paraId="5AD77BC5" w14:textId="77777777" w:rsidR="00840595" w:rsidRDefault="00840595" w:rsidP="00840595">
      <w:pPr>
        <w:spacing w:line="276" w:lineRule="auto"/>
      </w:pPr>
    </w:p>
    <w:p w14:paraId="17B41753" w14:textId="77777777" w:rsidR="00840595" w:rsidRDefault="00840595" w:rsidP="00840595">
      <w:pPr>
        <w:spacing w:line="276" w:lineRule="auto"/>
      </w:pPr>
      <w:r>
        <w:t xml:space="preserve">The CTSA Program supports high quality translational and clinical research locally, regionally and nationally and fosters innovation in research methods, training, and career development.  The intellectual capital and resources within the CTSA Program are rich sources of information.  Surveys are one way to capture a snapshot of this information.  The purpose of a survey may be to uncover answers, evoke discussion, discover resources, base decisions on objective information and/or to compare results.  </w:t>
      </w:r>
    </w:p>
    <w:p w14:paraId="72EF8E0F" w14:textId="77777777" w:rsidR="003C4EA9" w:rsidRDefault="003C4EA9" w:rsidP="00840595">
      <w:pPr>
        <w:spacing w:line="276" w:lineRule="auto"/>
      </w:pPr>
    </w:p>
    <w:p w14:paraId="6B29DD84" w14:textId="45969430" w:rsidR="00B23718" w:rsidRDefault="00632130" w:rsidP="00B23718">
      <w:pPr>
        <w:spacing w:line="276" w:lineRule="auto"/>
      </w:pPr>
      <w:r>
        <w:t>T</w:t>
      </w:r>
      <w:r w:rsidR="00B23718">
        <w:t>here is a need for a controlled process for survey deployment</w:t>
      </w:r>
      <w:r w:rsidR="00322904">
        <w:t xml:space="preserve"> and archival</w:t>
      </w:r>
      <w:r w:rsidR="00B23718">
        <w:t xml:space="preserve"> within the CTSA Program</w:t>
      </w:r>
      <w:r>
        <w:t>.  A</w:t>
      </w:r>
      <w:r w:rsidR="00B23718">
        <w:t xml:space="preserve"> Federal agency cannot collect </w:t>
      </w:r>
      <w:r w:rsidR="00B23718" w:rsidRPr="00722A3D">
        <w:rPr>
          <w:b/>
          <w:i/>
        </w:rPr>
        <w:t>or sponsor a collection of information</w:t>
      </w:r>
      <w:r w:rsidR="00B23718">
        <w:t xml:space="preserve"> from 10 or more public respondents without obtaining approval from the Office of Management and Budget (the Paperwork Reduction Act, PRA</w:t>
      </w:r>
      <w:r w:rsidR="00B23718">
        <w:rPr>
          <w:rStyle w:val="FootnoteReference"/>
        </w:rPr>
        <w:footnoteReference w:id="1"/>
      </w:r>
      <w:r w:rsidR="00B23718">
        <w:t>).  This tends to be a lengthy approval process, often taking several months for processing and approval.</w:t>
      </w:r>
    </w:p>
    <w:p w14:paraId="40240BC3" w14:textId="77777777" w:rsidR="00840595" w:rsidRDefault="00840595" w:rsidP="00840595">
      <w:pPr>
        <w:rPr>
          <w:lang w:val="en"/>
        </w:rPr>
      </w:pPr>
    </w:p>
    <w:p w14:paraId="41E40697" w14:textId="72701C08" w:rsidR="00840595" w:rsidRDefault="00632130" w:rsidP="00840595">
      <w:pPr>
        <w:rPr>
          <w:lang w:val="en"/>
        </w:rPr>
      </w:pPr>
      <w:r>
        <w:rPr>
          <w:lang w:val="en"/>
        </w:rPr>
        <w:t>However, d</w:t>
      </w:r>
      <w:r w:rsidR="00840595">
        <w:rPr>
          <w:lang w:val="en"/>
        </w:rPr>
        <w:t>ue to the 21</w:t>
      </w:r>
      <w:r w:rsidR="00840595">
        <w:rPr>
          <w:vertAlign w:val="superscript"/>
          <w:lang w:val="en"/>
        </w:rPr>
        <w:t>st</w:t>
      </w:r>
      <w:r w:rsidR="00840595">
        <w:rPr>
          <w:lang w:val="en"/>
        </w:rPr>
        <w:t xml:space="preserve"> Century Cures Act, a bipartisan effort “to accelerate the discovery, development, and delivery of 21</w:t>
      </w:r>
      <w:r w:rsidR="00840595">
        <w:rPr>
          <w:vertAlign w:val="superscript"/>
          <w:lang w:val="en"/>
        </w:rPr>
        <w:t>st</w:t>
      </w:r>
      <w:r w:rsidR="00840595">
        <w:rPr>
          <w:lang w:val="en"/>
        </w:rPr>
        <w:t xml:space="preserve"> Century Cures”, NIH </w:t>
      </w:r>
      <w:r w:rsidR="00840595">
        <w:rPr>
          <w:u w:val="single"/>
          <w:lang w:val="en"/>
        </w:rPr>
        <w:t>research</w:t>
      </w:r>
      <w:r w:rsidR="00840595">
        <w:rPr>
          <w:lang w:val="en"/>
        </w:rPr>
        <w:t xml:space="preserve"> activities are exempt from </w:t>
      </w:r>
      <w:r w:rsidR="00A80B65">
        <w:rPr>
          <w:lang w:val="en"/>
        </w:rPr>
        <w:t>PRA</w:t>
      </w:r>
      <w:r w:rsidR="00840595">
        <w:rPr>
          <w:lang w:val="en"/>
        </w:rPr>
        <w:t xml:space="preserve"> approval.   </w:t>
      </w:r>
    </w:p>
    <w:p w14:paraId="63DDA505" w14:textId="77777777" w:rsidR="00840595" w:rsidRDefault="00840595" w:rsidP="00840595">
      <w:pPr>
        <w:rPr>
          <w:lang w:val="en"/>
        </w:rPr>
      </w:pPr>
    </w:p>
    <w:p w14:paraId="4910ACAC" w14:textId="77777777" w:rsidR="00840595" w:rsidRDefault="00840595" w:rsidP="00840595">
      <w:pPr>
        <w:rPr>
          <w:lang w:val="en"/>
        </w:rPr>
      </w:pPr>
      <w:r>
        <w:rPr>
          <w:i/>
          <w:iCs/>
          <w:lang w:val="en"/>
        </w:rPr>
        <w:t>“SEC. 2035. Exemption for the National Institutes of Health from the Paperwork Reduction Act requirements. Subchapter I of chapter 35 of title 44, United</w:t>
      </w:r>
      <w:r>
        <w:rPr>
          <w:i/>
          <w:iCs/>
          <w:color w:val="1F497D"/>
          <w:lang w:val="en"/>
        </w:rPr>
        <w:t xml:space="preserve"> </w:t>
      </w:r>
      <w:r>
        <w:rPr>
          <w:i/>
          <w:iCs/>
          <w:lang w:val="en"/>
        </w:rPr>
        <w:t>States Code, shall not apply to the voluntary collection of information during the conduct of research.’’</w:t>
      </w:r>
      <w:r>
        <w:rPr>
          <w:lang w:val="en"/>
        </w:rPr>
        <w:t xml:space="preserve"> </w:t>
      </w:r>
    </w:p>
    <w:p w14:paraId="1FBD25FE" w14:textId="77777777" w:rsidR="00840595" w:rsidRDefault="00840595" w:rsidP="00840595">
      <w:pPr>
        <w:rPr>
          <w:lang w:val="en"/>
        </w:rPr>
      </w:pPr>
    </w:p>
    <w:p w14:paraId="36673D24" w14:textId="77777777" w:rsidR="00840595" w:rsidRDefault="00840595" w:rsidP="00840595">
      <w:pPr>
        <w:rPr>
          <w:lang w:val="en"/>
        </w:rPr>
      </w:pPr>
      <w:r>
        <w:rPr>
          <w:b/>
          <w:bCs/>
          <w:u w:val="single"/>
          <w:lang w:val="en"/>
        </w:rPr>
        <w:t>Research is defined as a systematic investigation, including research development, testing and evaluation, designed to develop or contribute to generalizable knowledge</w:t>
      </w:r>
      <w:r>
        <w:rPr>
          <w:lang w:val="en"/>
        </w:rPr>
        <w:t xml:space="preserve"> (</w:t>
      </w:r>
      <w:r>
        <w:rPr>
          <w:i/>
          <w:iCs/>
          <w:lang w:val="en"/>
        </w:rPr>
        <w:t>46 CFR 46.102 and the Common Rule .102(l))</w:t>
      </w:r>
      <w:r>
        <w:rPr>
          <w:lang w:val="en"/>
        </w:rPr>
        <w:t xml:space="preserve"> </w:t>
      </w:r>
    </w:p>
    <w:p w14:paraId="31A16CF0" w14:textId="77777777" w:rsidR="00840595" w:rsidRDefault="00840595" w:rsidP="00840595">
      <w:pPr>
        <w:rPr>
          <w:lang w:val="en"/>
        </w:rPr>
      </w:pPr>
    </w:p>
    <w:p w14:paraId="18DD0B61" w14:textId="77777777" w:rsidR="00840595" w:rsidRDefault="00840595" w:rsidP="00840595">
      <w:pPr>
        <w:rPr>
          <w:lang w:val="en"/>
        </w:rPr>
      </w:pPr>
      <w:r>
        <w:rPr>
          <w:lang w:val="en"/>
        </w:rPr>
        <w:t xml:space="preserve">When making determinations to assess whether the project, in question, is subject to PRA clearance, NIH needs an answer to the following questions: </w:t>
      </w:r>
    </w:p>
    <w:p w14:paraId="730A5A0F" w14:textId="77777777" w:rsidR="00840595" w:rsidRDefault="00840595" w:rsidP="00840595">
      <w:pPr>
        <w:rPr>
          <w:lang w:val="en"/>
        </w:rPr>
      </w:pPr>
    </w:p>
    <w:p w14:paraId="6F2DD8C6" w14:textId="77777777" w:rsidR="00840595" w:rsidRDefault="00840595" w:rsidP="00840595">
      <w:pPr>
        <w:numPr>
          <w:ilvl w:val="0"/>
          <w:numId w:val="1"/>
        </w:numPr>
        <w:rPr>
          <w:rFonts w:eastAsia="Times New Roman"/>
          <w:lang w:val="en"/>
        </w:rPr>
      </w:pPr>
      <w:r>
        <w:rPr>
          <w:rFonts w:eastAsia="Times New Roman"/>
          <w:lang w:val="en"/>
        </w:rPr>
        <w:t xml:space="preserve">Will the program analyze the project outcomes in a systematic way? </w:t>
      </w:r>
    </w:p>
    <w:p w14:paraId="4CE2105A" w14:textId="77777777" w:rsidR="00840595" w:rsidRDefault="00840595" w:rsidP="00840595">
      <w:pPr>
        <w:numPr>
          <w:ilvl w:val="0"/>
          <w:numId w:val="1"/>
        </w:numPr>
        <w:rPr>
          <w:rFonts w:eastAsia="Times New Roman"/>
          <w:lang w:val="en"/>
        </w:rPr>
      </w:pPr>
      <w:r>
        <w:rPr>
          <w:rFonts w:eastAsia="Times New Roman"/>
          <w:lang w:val="en"/>
        </w:rPr>
        <w:t xml:space="preserve">Will the program publicize the results of your systematic analyses? </w:t>
      </w:r>
    </w:p>
    <w:p w14:paraId="179A203E" w14:textId="77777777" w:rsidR="00840595" w:rsidRDefault="00840595" w:rsidP="00840595">
      <w:pPr>
        <w:rPr>
          <w:lang w:val="en"/>
        </w:rPr>
      </w:pPr>
    </w:p>
    <w:p w14:paraId="0ED3B24F" w14:textId="77777777" w:rsidR="00840595" w:rsidRDefault="00840595" w:rsidP="00840595">
      <w:pPr>
        <w:rPr>
          <w:lang w:val="en"/>
        </w:rPr>
      </w:pPr>
      <w:r>
        <w:rPr>
          <w:lang w:val="en"/>
        </w:rPr>
        <w:t xml:space="preserve">If the answer to both questions is yes, then the program is conducting NIH research and will be considered exempt from the PRA approval requirements as outlined by the 21st Century Cures Act. </w:t>
      </w:r>
    </w:p>
    <w:p w14:paraId="6A6C349F" w14:textId="77777777" w:rsidR="00632130" w:rsidRDefault="00632130" w:rsidP="00840595">
      <w:pPr>
        <w:rPr>
          <w:lang w:val="en"/>
        </w:rPr>
      </w:pPr>
    </w:p>
    <w:p w14:paraId="542BB33E" w14:textId="77777777" w:rsidR="00632130" w:rsidRPr="00632130" w:rsidRDefault="00632130" w:rsidP="00840595">
      <w:pPr>
        <w:rPr>
          <w:b/>
          <w:lang w:val="en"/>
        </w:rPr>
      </w:pPr>
      <w:r w:rsidRPr="00632130">
        <w:rPr>
          <w:b/>
          <w:lang w:val="en"/>
        </w:rPr>
        <w:t xml:space="preserve">Implementation of </w:t>
      </w:r>
      <w:r>
        <w:rPr>
          <w:b/>
          <w:lang w:val="en"/>
        </w:rPr>
        <w:t xml:space="preserve">Surveys </w:t>
      </w:r>
      <w:r w:rsidRPr="00632130">
        <w:rPr>
          <w:b/>
          <w:lang w:val="en"/>
        </w:rPr>
        <w:t>within the CTSA Program:</w:t>
      </w:r>
    </w:p>
    <w:p w14:paraId="2B88388D" w14:textId="77777777" w:rsidR="00840595" w:rsidRDefault="00840595" w:rsidP="00840595">
      <w:pPr>
        <w:rPr>
          <w:lang w:val="en"/>
        </w:rPr>
      </w:pPr>
    </w:p>
    <w:p w14:paraId="23EE49B3" w14:textId="5109C600" w:rsidR="00840595" w:rsidRDefault="00840595" w:rsidP="00840595">
      <w:pPr>
        <w:numPr>
          <w:ilvl w:val="0"/>
          <w:numId w:val="2"/>
        </w:numPr>
        <w:rPr>
          <w:rFonts w:eastAsia="Times New Roman"/>
          <w:lang w:val="en"/>
        </w:rPr>
      </w:pPr>
      <w:r>
        <w:rPr>
          <w:rFonts w:eastAsia="Times New Roman"/>
          <w:lang w:val="en"/>
        </w:rPr>
        <w:t>NCATS, through the CTSA Program Coordinating Center, will identify/confirm that the activity is research</w:t>
      </w:r>
      <w:r w:rsidR="00632130">
        <w:rPr>
          <w:rFonts w:eastAsia="Times New Roman"/>
          <w:lang w:val="en"/>
        </w:rPr>
        <w:t xml:space="preserve"> by requesting the </w:t>
      </w:r>
      <w:proofErr w:type="gramStart"/>
      <w:r w:rsidR="00322904">
        <w:rPr>
          <w:rFonts w:eastAsia="Times New Roman"/>
          <w:lang w:val="en"/>
        </w:rPr>
        <w:t>above mentioned</w:t>
      </w:r>
      <w:proofErr w:type="gramEnd"/>
      <w:r w:rsidR="00322904">
        <w:rPr>
          <w:rFonts w:eastAsia="Times New Roman"/>
          <w:lang w:val="en"/>
        </w:rPr>
        <w:t xml:space="preserve"> </w:t>
      </w:r>
      <w:r w:rsidR="00632130">
        <w:rPr>
          <w:rFonts w:eastAsia="Times New Roman"/>
          <w:lang w:val="en"/>
        </w:rPr>
        <w:t>questions are answered by people requesting to deploy a survey</w:t>
      </w:r>
      <w:r>
        <w:rPr>
          <w:rFonts w:eastAsia="Times New Roman"/>
          <w:lang w:val="en"/>
        </w:rPr>
        <w:t xml:space="preserve">. </w:t>
      </w:r>
      <w:r w:rsidR="00632130">
        <w:rPr>
          <w:rFonts w:eastAsia="Times New Roman"/>
          <w:lang w:val="en"/>
        </w:rPr>
        <w:t xml:space="preserve">  </w:t>
      </w:r>
      <w:r>
        <w:rPr>
          <w:rFonts w:eastAsia="Times New Roman"/>
          <w:lang w:val="en"/>
        </w:rPr>
        <w:t xml:space="preserve">If unsure if the activity is research, NCATS staff will obtain a determination through the NIH Office of </w:t>
      </w:r>
      <w:r w:rsidR="00FB6A92">
        <w:rPr>
          <w:rFonts w:eastAsia="Times New Roman"/>
          <w:lang w:val="en"/>
        </w:rPr>
        <w:t xml:space="preserve">Policy for Extramural Research Administration. </w:t>
      </w:r>
    </w:p>
    <w:p w14:paraId="078E0EA7" w14:textId="77777777" w:rsidR="00840595" w:rsidRDefault="00840595" w:rsidP="00840595">
      <w:pPr>
        <w:numPr>
          <w:ilvl w:val="0"/>
          <w:numId w:val="2"/>
        </w:numPr>
        <w:rPr>
          <w:rFonts w:eastAsia="Times New Roman"/>
          <w:lang w:val="en"/>
        </w:rPr>
      </w:pPr>
      <w:r>
        <w:rPr>
          <w:rFonts w:eastAsia="Times New Roman"/>
          <w:lang w:val="en"/>
        </w:rPr>
        <w:lastRenderedPageBreak/>
        <w:t>NCATS, through the CTSA Program Coordinating Center, will ensure documentation of exemption from PRA.</w:t>
      </w:r>
      <w:r w:rsidR="00FB6A92">
        <w:rPr>
          <w:rFonts w:eastAsia="Times New Roman"/>
          <w:lang w:val="en"/>
        </w:rPr>
        <w:t xml:space="preserve">  </w:t>
      </w:r>
    </w:p>
    <w:p w14:paraId="6FD4E01A" w14:textId="177CC2A2" w:rsidR="00840595" w:rsidRDefault="00840595" w:rsidP="00840595">
      <w:pPr>
        <w:numPr>
          <w:ilvl w:val="0"/>
          <w:numId w:val="2"/>
        </w:numPr>
        <w:rPr>
          <w:rFonts w:eastAsia="Times New Roman"/>
          <w:lang w:val="en"/>
        </w:rPr>
      </w:pPr>
      <w:r>
        <w:rPr>
          <w:rFonts w:eastAsia="Times New Roman"/>
          <w:lang w:val="en"/>
        </w:rPr>
        <w:t>If the activity is not research, but NCATS determines that the survey is of value to proceed,</w:t>
      </w:r>
      <w:r w:rsidR="00FB6A92">
        <w:rPr>
          <w:rFonts w:eastAsia="Times New Roman"/>
          <w:lang w:val="en"/>
        </w:rPr>
        <w:t xml:space="preserve"> NCATS staff</w:t>
      </w:r>
      <w:r w:rsidR="002A7F71">
        <w:rPr>
          <w:rFonts w:eastAsia="Times New Roman"/>
          <w:lang w:val="en"/>
        </w:rPr>
        <w:t>, working with the requestors,</w:t>
      </w:r>
      <w:r w:rsidR="00FB6A92">
        <w:rPr>
          <w:rFonts w:eastAsia="Times New Roman"/>
          <w:lang w:val="en"/>
        </w:rPr>
        <w:t xml:space="preserve"> will</w:t>
      </w:r>
      <w:r w:rsidR="002A7F71">
        <w:rPr>
          <w:rFonts w:eastAsia="Times New Roman"/>
          <w:lang w:val="en"/>
        </w:rPr>
        <w:t xml:space="preserve"> develop the appropriate materials and</w:t>
      </w:r>
      <w:r w:rsidR="00FB6A92">
        <w:rPr>
          <w:rFonts w:eastAsia="Times New Roman"/>
          <w:lang w:val="en"/>
        </w:rPr>
        <w:t xml:space="preserve"> submit the request to the NIH Office of Policy for Extramural Research Administration for processing of PRA approval</w:t>
      </w:r>
      <w:r>
        <w:rPr>
          <w:rFonts w:eastAsia="Times New Roman"/>
          <w:lang w:val="en"/>
        </w:rPr>
        <w:t>.</w:t>
      </w:r>
    </w:p>
    <w:p w14:paraId="54A63191" w14:textId="77777777" w:rsidR="00FB6A92" w:rsidRDefault="00FB6A92" w:rsidP="00FB6A92">
      <w:pPr>
        <w:rPr>
          <w:rFonts w:eastAsia="Times New Roman"/>
          <w:lang w:val="en"/>
        </w:rPr>
      </w:pPr>
    </w:p>
    <w:p w14:paraId="06C865B7" w14:textId="77777777" w:rsidR="00FB6A92" w:rsidRDefault="00FB6A92" w:rsidP="00FB6A92">
      <w:pPr>
        <w:rPr>
          <w:rFonts w:eastAsia="Times New Roman"/>
          <w:lang w:val="en"/>
        </w:rPr>
      </w:pPr>
      <w:r>
        <w:rPr>
          <w:rFonts w:eastAsia="Times New Roman"/>
          <w:lang w:val="en"/>
        </w:rPr>
        <w:t xml:space="preserve">An example of </w:t>
      </w:r>
      <w:r w:rsidR="00EE025A">
        <w:rPr>
          <w:rFonts w:eastAsia="Times New Roman"/>
          <w:lang w:val="en"/>
        </w:rPr>
        <w:t>an item that is exempt from PRA approval includes the following:</w:t>
      </w:r>
    </w:p>
    <w:p w14:paraId="50F2CF62" w14:textId="77777777" w:rsidR="00EE025A" w:rsidRDefault="00EE025A" w:rsidP="00FB6A92">
      <w:pPr>
        <w:rPr>
          <w:rFonts w:eastAsia="Times New Roman"/>
          <w:lang w:val="en"/>
        </w:rPr>
      </w:pPr>
    </w:p>
    <w:p w14:paraId="0E0ABB65" w14:textId="77777777" w:rsidR="00EE025A" w:rsidRPr="00EE025A" w:rsidRDefault="00EE025A" w:rsidP="00EE025A">
      <w:pPr>
        <w:pStyle w:val="ListParagraph"/>
        <w:numPr>
          <w:ilvl w:val="0"/>
          <w:numId w:val="4"/>
        </w:numPr>
        <w:rPr>
          <w:rFonts w:eastAsia="Times New Roman"/>
          <w:lang w:val="en"/>
        </w:rPr>
      </w:pPr>
      <w:r>
        <w:rPr>
          <w:rFonts w:eastAsia="Times New Roman"/>
          <w:lang w:val="en"/>
        </w:rPr>
        <w:t>Customer Satisfaction / Feedback Surveys if outcomes are analyzed in a systematic way and the results are publicized.</w:t>
      </w:r>
    </w:p>
    <w:p w14:paraId="4CC3CE88" w14:textId="77777777" w:rsidR="00850DE2" w:rsidRDefault="00850DE2"/>
    <w:p w14:paraId="0ED72421" w14:textId="422D95F5" w:rsidR="00B23718" w:rsidRDefault="00212B02" w:rsidP="00750097">
      <w:r>
        <w:t>For additional guidance from the CTSA Program Coordinating Center please contact:</w:t>
      </w:r>
      <w:r w:rsidR="00C22E10" w:rsidRPr="00C22E10">
        <w:t xml:space="preserve"> </w:t>
      </w:r>
      <w:hyperlink r:id="rId7" w:history="1">
        <w:r w:rsidR="00C22E10" w:rsidRPr="00096959">
          <w:rPr>
            <w:rStyle w:val="Hyperlink"/>
          </w:rPr>
          <w:t>https://clic-ctsa.org/contact</w:t>
        </w:r>
      </w:hyperlink>
      <w:r w:rsidR="00C22E10" w:rsidRPr="00C22E10">
        <w:t xml:space="preserve"> or </w:t>
      </w:r>
      <w:hyperlink r:id="rId8" w:history="1">
        <w:r w:rsidR="00C22E10" w:rsidRPr="00096959">
          <w:rPr>
            <w:rStyle w:val="Hyperlink"/>
          </w:rPr>
          <w:t>help@clic-ctsa.org</w:t>
        </w:r>
      </w:hyperlink>
      <w:r w:rsidR="00C22E10">
        <w:t xml:space="preserve"> </w:t>
      </w:r>
      <w:r w:rsidR="00750097">
        <w:t xml:space="preserve"> </w:t>
      </w:r>
    </w:p>
    <w:sectPr w:rsidR="00B2371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E091" w14:textId="77777777" w:rsidR="00EA47A1" w:rsidRDefault="00EA47A1" w:rsidP="00B23718">
      <w:r>
        <w:separator/>
      </w:r>
    </w:p>
  </w:endnote>
  <w:endnote w:type="continuationSeparator" w:id="0">
    <w:p w14:paraId="487BE363" w14:textId="77777777" w:rsidR="00EA47A1" w:rsidRDefault="00EA47A1" w:rsidP="00B2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F807" w14:textId="77777777" w:rsidR="00EA47A1" w:rsidRDefault="00EA47A1" w:rsidP="00B23718">
      <w:r>
        <w:separator/>
      </w:r>
    </w:p>
  </w:footnote>
  <w:footnote w:type="continuationSeparator" w:id="0">
    <w:p w14:paraId="2FE90663" w14:textId="77777777" w:rsidR="00EA47A1" w:rsidRDefault="00EA47A1" w:rsidP="00B23718">
      <w:r>
        <w:continuationSeparator/>
      </w:r>
    </w:p>
  </w:footnote>
  <w:footnote w:id="1">
    <w:p w14:paraId="78691604" w14:textId="77777777" w:rsidR="00B23718" w:rsidRDefault="00B23718" w:rsidP="00B23718">
      <w:pPr>
        <w:pStyle w:val="FootnoteText"/>
      </w:pPr>
      <w:r>
        <w:rPr>
          <w:rStyle w:val="FootnoteReference"/>
        </w:rPr>
        <w:footnoteRef/>
      </w:r>
      <w:r>
        <w:t xml:space="preserve"> </w:t>
      </w:r>
      <w:r w:rsidRPr="00EF495B">
        <w:t>44 U.S.C. Chapter 35, the Paperwork Reduction Act of 1995 (PRA)</w:t>
      </w:r>
      <w:r>
        <w:t xml:space="preserve">, see </w:t>
      </w:r>
      <w:r w:rsidRPr="00EF495B">
        <w:t>https://policymanual.nih.gov/1825#52E077E2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2C62" w14:textId="40239CEF" w:rsidR="007B55C6" w:rsidRDefault="007B55C6">
    <w:pPr>
      <w:pStyle w:val="Header"/>
    </w:pPr>
    <w:r>
      <w:t>11.22.2017</w:t>
    </w:r>
  </w:p>
  <w:p w14:paraId="7E3EA0FB" w14:textId="77777777" w:rsidR="007B55C6" w:rsidRDefault="007B5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7E90"/>
    <w:multiLevelType w:val="multilevel"/>
    <w:tmpl w:val="734E1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9D3112"/>
    <w:multiLevelType w:val="hybridMultilevel"/>
    <w:tmpl w:val="6B2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80C4B"/>
    <w:multiLevelType w:val="hybridMultilevel"/>
    <w:tmpl w:val="76E0F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595"/>
    <w:rsid w:val="00212B02"/>
    <w:rsid w:val="00252FFD"/>
    <w:rsid w:val="002A7F71"/>
    <w:rsid w:val="00322904"/>
    <w:rsid w:val="003C4EA9"/>
    <w:rsid w:val="00606A70"/>
    <w:rsid w:val="00632130"/>
    <w:rsid w:val="0066504B"/>
    <w:rsid w:val="00665578"/>
    <w:rsid w:val="00697732"/>
    <w:rsid w:val="00750097"/>
    <w:rsid w:val="00791EC2"/>
    <w:rsid w:val="007A3340"/>
    <w:rsid w:val="007B55C6"/>
    <w:rsid w:val="00840595"/>
    <w:rsid w:val="00850DE2"/>
    <w:rsid w:val="008B6769"/>
    <w:rsid w:val="00A01949"/>
    <w:rsid w:val="00A80B65"/>
    <w:rsid w:val="00AC06BC"/>
    <w:rsid w:val="00B23718"/>
    <w:rsid w:val="00B542C5"/>
    <w:rsid w:val="00C22E10"/>
    <w:rsid w:val="00DA3732"/>
    <w:rsid w:val="00E93BB0"/>
    <w:rsid w:val="00EA47A1"/>
    <w:rsid w:val="00EE025A"/>
    <w:rsid w:val="00FB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936C"/>
  <w15:chartTrackingRefBased/>
  <w15:docId w15:val="{7D1768B0-FA58-49B4-9593-A29299745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5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5A"/>
    <w:pPr>
      <w:ind w:left="720"/>
      <w:contextualSpacing/>
    </w:pPr>
  </w:style>
  <w:style w:type="paragraph" w:styleId="FootnoteText">
    <w:name w:val="footnote text"/>
    <w:basedOn w:val="Normal"/>
    <w:link w:val="FootnoteTextChar"/>
    <w:uiPriority w:val="99"/>
    <w:semiHidden/>
    <w:unhideWhenUsed/>
    <w:rsid w:val="00B23718"/>
    <w:pPr>
      <w:ind w:left="11" w:hanging="10"/>
    </w:pPr>
    <w:rPr>
      <w:rFonts w:eastAsia="Calibri"/>
      <w:color w:val="000000"/>
      <w:sz w:val="20"/>
      <w:szCs w:val="20"/>
    </w:rPr>
  </w:style>
  <w:style w:type="character" w:customStyle="1" w:styleId="FootnoteTextChar">
    <w:name w:val="Footnote Text Char"/>
    <w:basedOn w:val="DefaultParagraphFont"/>
    <w:link w:val="FootnoteText"/>
    <w:uiPriority w:val="99"/>
    <w:semiHidden/>
    <w:rsid w:val="00B23718"/>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B23718"/>
    <w:rPr>
      <w:vertAlign w:val="superscript"/>
    </w:rPr>
  </w:style>
  <w:style w:type="character" w:styleId="Hyperlink">
    <w:name w:val="Hyperlink"/>
    <w:basedOn w:val="DefaultParagraphFont"/>
    <w:uiPriority w:val="99"/>
    <w:unhideWhenUsed/>
    <w:rsid w:val="00B23718"/>
    <w:rPr>
      <w:color w:val="0000FF" w:themeColor="hyperlink"/>
      <w:u w:val="single"/>
    </w:rPr>
  </w:style>
  <w:style w:type="character" w:customStyle="1" w:styleId="UnresolvedMention1">
    <w:name w:val="Unresolved Mention1"/>
    <w:basedOn w:val="DefaultParagraphFont"/>
    <w:uiPriority w:val="99"/>
    <w:semiHidden/>
    <w:unhideWhenUsed/>
    <w:rsid w:val="00B23718"/>
    <w:rPr>
      <w:color w:val="808080"/>
      <w:shd w:val="clear" w:color="auto" w:fill="E6E6E6"/>
    </w:rPr>
  </w:style>
  <w:style w:type="character" w:styleId="CommentReference">
    <w:name w:val="annotation reference"/>
    <w:basedOn w:val="DefaultParagraphFont"/>
    <w:uiPriority w:val="99"/>
    <w:semiHidden/>
    <w:unhideWhenUsed/>
    <w:rsid w:val="00632130"/>
    <w:rPr>
      <w:sz w:val="16"/>
      <w:szCs w:val="16"/>
    </w:rPr>
  </w:style>
  <w:style w:type="paragraph" w:styleId="CommentText">
    <w:name w:val="annotation text"/>
    <w:basedOn w:val="Normal"/>
    <w:link w:val="CommentTextChar"/>
    <w:uiPriority w:val="99"/>
    <w:semiHidden/>
    <w:unhideWhenUsed/>
    <w:rsid w:val="00632130"/>
    <w:rPr>
      <w:sz w:val="20"/>
      <w:szCs w:val="20"/>
    </w:rPr>
  </w:style>
  <w:style w:type="character" w:customStyle="1" w:styleId="CommentTextChar">
    <w:name w:val="Comment Text Char"/>
    <w:basedOn w:val="DefaultParagraphFont"/>
    <w:link w:val="CommentText"/>
    <w:uiPriority w:val="99"/>
    <w:semiHidden/>
    <w:rsid w:val="006321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2130"/>
    <w:rPr>
      <w:b/>
      <w:bCs/>
    </w:rPr>
  </w:style>
  <w:style w:type="character" w:customStyle="1" w:styleId="CommentSubjectChar">
    <w:name w:val="Comment Subject Char"/>
    <w:basedOn w:val="CommentTextChar"/>
    <w:link w:val="CommentSubject"/>
    <w:uiPriority w:val="99"/>
    <w:semiHidden/>
    <w:rsid w:val="00632130"/>
    <w:rPr>
      <w:rFonts w:ascii="Calibri" w:hAnsi="Calibri" w:cs="Calibri"/>
      <w:b/>
      <w:bCs/>
      <w:sz w:val="20"/>
      <w:szCs w:val="20"/>
    </w:rPr>
  </w:style>
  <w:style w:type="paragraph" w:styleId="BalloonText">
    <w:name w:val="Balloon Text"/>
    <w:basedOn w:val="Normal"/>
    <w:link w:val="BalloonTextChar"/>
    <w:uiPriority w:val="99"/>
    <w:semiHidden/>
    <w:unhideWhenUsed/>
    <w:rsid w:val="006321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30"/>
    <w:rPr>
      <w:rFonts w:ascii="Segoe UI" w:hAnsi="Segoe UI" w:cs="Segoe UI"/>
      <w:sz w:val="18"/>
      <w:szCs w:val="18"/>
    </w:rPr>
  </w:style>
  <w:style w:type="character" w:styleId="UnresolvedMention">
    <w:name w:val="Unresolved Mention"/>
    <w:basedOn w:val="DefaultParagraphFont"/>
    <w:uiPriority w:val="99"/>
    <w:semiHidden/>
    <w:unhideWhenUsed/>
    <w:rsid w:val="00C22E10"/>
    <w:rPr>
      <w:color w:val="808080"/>
      <w:shd w:val="clear" w:color="auto" w:fill="E6E6E6"/>
    </w:rPr>
  </w:style>
  <w:style w:type="paragraph" w:styleId="Header">
    <w:name w:val="header"/>
    <w:basedOn w:val="Normal"/>
    <w:link w:val="HeaderChar"/>
    <w:uiPriority w:val="99"/>
    <w:unhideWhenUsed/>
    <w:rsid w:val="007B55C6"/>
    <w:pPr>
      <w:tabs>
        <w:tab w:val="center" w:pos="4680"/>
        <w:tab w:val="right" w:pos="9360"/>
      </w:tabs>
    </w:pPr>
  </w:style>
  <w:style w:type="character" w:customStyle="1" w:styleId="HeaderChar">
    <w:name w:val="Header Char"/>
    <w:basedOn w:val="DefaultParagraphFont"/>
    <w:link w:val="Header"/>
    <w:uiPriority w:val="99"/>
    <w:rsid w:val="007B55C6"/>
    <w:rPr>
      <w:rFonts w:ascii="Calibri" w:hAnsi="Calibri" w:cs="Calibri"/>
    </w:rPr>
  </w:style>
  <w:style w:type="paragraph" w:styleId="Footer">
    <w:name w:val="footer"/>
    <w:basedOn w:val="Normal"/>
    <w:link w:val="FooterChar"/>
    <w:uiPriority w:val="99"/>
    <w:unhideWhenUsed/>
    <w:rsid w:val="007B55C6"/>
    <w:pPr>
      <w:tabs>
        <w:tab w:val="center" w:pos="4680"/>
        <w:tab w:val="right" w:pos="9360"/>
      </w:tabs>
    </w:pPr>
  </w:style>
  <w:style w:type="character" w:customStyle="1" w:styleId="FooterChar">
    <w:name w:val="Footer Char"/>
    <w:basedOn w:val="DefaultParagraphFont"/>
    <w:link w:val="Footer"/>
    <w:uiPriority w:val="99"/>
    <w:rsid w:val="007B55C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lic-ctsa.org" TargetMode="External"/><Relationship Id="rId3" Type="http://schemas.openxmlformats.org/officeDocument/2006/relationships/settings" Target="settings.xml"/><Relationship Id="rId7" Type="http://schemas.openxmlformats.org/officeDocument/2006/relationships/hyperlink" Target="https://clic-ctsa.org/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Rosemond, Erica (NIH/NCATS) [E]</dc:creator>
  <cp:keywords/>
  <dc:description/>
  <cp:lastModifiedBy>Rosemond, Erica (NIH/NCATS) [E]</cp:lastModifiedBy>
  <cp:revision>6</cp:revision>
  <dcterms:created xsi:type="dcterms:W3CDTF">2017-10-11T21:04:00Z</dcterms:created>
  <dcterms:modified xsi:type="dcterms:W3CDTF">2017-11-22T16:41:00Z</dcterms:modified>
</cp:coreProperties>
</file>